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25.03.2024 №34.</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Введение в коммуникационные специальности</w:t>
            </w:r>
          </w:p>
          <w:p>
            <w:pPr>
              <w:jc w:val="center"/>
              <w:spacing w:after="0" w:line="240" w:lineRule="auto"/>
              <w:rPr>
                <w:sz w:val="32"/>
                <w:szCs w:val="32"/>
              </w:rPr>
            </w:pPr>
            <w:r>
              <w:rPr>
                <w:rFonts w:ascii="Times New Roman" w:hAnsi="Times New Roman" w:cs="Times New Roman"/>
                <w:color w:val="#000000"/>
                <w:sz w:val="32"/>
                <w:szCs w:val="32"/>
              </w:rPr>
              <w:t> Б1.О.06.01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26.56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«Введение в коммуникационные специальности»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Б1.О.06.01 «Введение в коммуникационные специальности».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«Введение в коммуникационные специальности»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отвечать на запросы и потребности общества и аудитории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запросы и потребности общества, отдельных аудиторных групп</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знать основные инструменты поиска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знать запросы и потребности целевых аудиторий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уметь использовать социологические методы исследования запросов и потребностей общества, отдельных аудиторных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ОПК-4.8 уметь создавать рекламные тексты и (или) продукты коммуникационной направленности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ОПК-4.10 владеть навыками использования социологических методов исследования запросов и потребностей общества, отдельных аудиторных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ОПК-4.12 владеть навыками создания рекламных текстов и (или) продуктов коммуникационной направленности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отличительные особенности разных медиасистем на глобальном, национальном и региональном уровнях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процессов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знать механизмы современных медиакоммуникационных систем</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знать особенности региональной системы СМИ</w:t>
            </w:r>
          </w:p>
        </w:tc>
      </w:tr>
      <w:tr>
        <w:trPr>
          <w:trHeight w:hRule="exact" w:val="533.6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выявлять и анализировать  отличительные особенности разных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медиасистем на глобальном, национальном и региональном уровнях</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уметь осуществлять свои профессиональные действия в сфере рекламы и связей с общественностью с учетом факторов, регулирующих функционирование медикоммуникационных систем</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уметь осуществлять свои профессиональные действия в сфере рекламы и связей с общественностью с учетом знания структуры современных медиакоммуникационных систем</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ОПК-5.10 уметь осуществлять свои профессиональные действия в сфере рекламы и связей с общественностью с учетом особенностей региональной системы СМИ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ОПК-5.13 владеть навыками осуществления своих профессиональных действий в сфере рекламы и связей с общественностью с учетом факторов, регулирующих функционирование медикоммуникационных систем</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ОПК-5.14 владеть навыками  осуществления своих профессиональных действий в сфере рекламы и связей с общественностью с учетом знания структуры современных медиакоммуникационных систем</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ОПК-5.15 владеть навыками осуществления своих профессиональных действий в сфере рекламы и связей с общественностью с учетом особенностей региональной системы СМИ</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Б1.О.06.01 «Введение в коммуникационные специальности»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рекламы и связей с общественностью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как ключевое понятие современного социокультурного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коммуникационного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Структурная лингвистика как теоретическое основание современной вербальной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Знаковая природа коммуникации. Семиотика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визуальных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Идеологическая функция рекламы как следствие коннотативного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в рекламе: глобализация и новые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как ключевое понятие современного социокультурного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коммуникационного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Структурная лингвистика как теоретическое основание современной вербальной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Знаковая природа коммуникации. Семиотика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визуальных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Идеологическая функция рекламы как следствие коннотативного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в рекламе: глобализация и новые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как ключевое понятие современного социокультурного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коммуникационного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Структурная лингвистика как теоретическое основание современной вербальной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Знаковая природа коммуникации. Семиотика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Семиотика визуальных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Идеологическая функция рекламы как следствие коннотативного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в рекламе: глобализация и новые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48.749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1.6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как ключевое понятие современного социокультурного пространства</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Значимость коммуникации в современном культурном пространстве. Цель и основные этапы становления теории коммуникации. Гносеологический аспект коммуникационного процесса. Структура простейшего коммуникативного акта. «Ритуальная коммуникация» Ю. Лотмана. Общение и коммуникация как семантически разные понятия. Типология обществ по движению информационных потоков.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коммуникационного процесса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по типу отношений между коммуникантами: автокоммуникация (концепция автокоммуникации Ю. Лотмана), межличностная коммуникация (трансакционный анализ Э. Берна и психоанализ З. Фрейда), массовая коммуникация (линейные и нелинейные модели коммуникации). Классификация по типу используемых семиотических средств: вербальная и невербальная коммуникация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Структурная лингвистика как теоретическое основание современной вербальной коммуникации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структурной лингвистики как направления языкознания, концепция Ф. Соссюра. Три условных направления структурной лингвистики: американский дескриптивизм (теория лингвистической относительности Э. Сепирера), глоссемантика Л. Елмслеева, пражский лингвистический кружок (функции языка Р.О. Якобсон). Концепция языковых игр Л. Вингинштейна и теория речевых актов (перформативные высказывания Дж. Остина): их роль в современной рекламе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Знаковая природа коммуникации. Семиотика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знака. Типология знака: иконический, символический, индекс. Треугольник Г. Фреге как способ исследования знаковых отношений. Преломление треугольника Фреге в рекламе. Определение семиотики (концепции Ч. Пирса и Ф.Соссюра). Три основных раздела семиотики: синтактика, семантика и прагматика (определения, функции, цели). Прагматика как наиболее значимый раздел семиотики для рекламного пространства.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визуальных коммуникаций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иконического знака как фундаментального для визуальной коммуникации. Проблема его интерпритации (иконический знак в трактовке Р. Барта и У. Эко). Составляющее иконического знака: коннотативное и денотативное сообщение. Значимость коннотативных смыслов для успешного функционирования рекламы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Идеологическая функция рекламы как следствие коннотативного сообщения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и характеристики рекламы. Рекламная коммуникация в преломлении коммуникационнсй теории Р.О. Якобсона и концепции Шеннона–Уивера. Идеологическая функция рекламы и ее роль в обществе потребления. Дихотомия Ж. Бодрийяра «модель/серия».</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в рекламе: глобализация и новые технологии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Кроскультурный и глобалистический подход к функционированию рекламы. Интернет- технологии и цифровые технологии как новый виток в распространении и функционировании рекламы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как ключевое понятие современного социокультурного пространства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Информационное общество и современные коммуникативные процессы</w:t>
            </w:r>
          </w:p>
          <w:p>
            <w:pPr>
              <w:jc w:val="both"/>
              <w:spacing w:after="0" w:line="240" w:lineRule="auto"/>
              <w:rPr>
                <w:sz w:val="24"/>
                <w:szCs w:val="24"/>
              </w:rPr>
            </w:pPr>
            <w:r>
              <w:rPr>
                <w:rFonts w:ascii="Times New Roman" w:hAnsi="Times New Roman" w:cs="Times New Roman"/>
                <w:color w:val="#000000"/>
                <w:sz w:val="24"/>
                <w:szCs w:val="24"/>
              </w:rPr>
              <w:t> 2. Гносеологический аспект коммуникативного акта.</w:t>
            </w:r>
          </w:p>
          <w:p>
            <w:pPr>
              <w:jc w:val="both"/>
              <w:spacing w:after="0" w:line="240" w:lineRule="auto"/>
              <w:rPr>
                <w:sz w:val="24"/>
                <w:szCs w:val="24"/>
              </w:rPr>
            </w:pPr>
            <w:r>
              <w:rPr>
                <w:rFonts w:ascii="Times New Roman" w:hAnsi="Times New Roman" w:cs="Times New Roman"/>
                <w:color w:val="#000000"/>
                <w:sz w:val="24"/>
                <w:szCs w:val="24"/>
              </w:rPr>
              <w:t> 3. «Ритуальная коммуникация» Ю. Лотмана и информационное общество: грани соотношения.</w:t>
            </w:r>
          </w:p>
          <w:p>
            <w:pPr>
              <w:jc w:val="both"/>
              <w:spacing w:after="0" w:line="240" w:lineRule="auto"/>
              <w:rPr>
                <w:sz w:val="24"/>
                <w:szCs w:val="24"/>
              </w:rPr>
            </w:pPr>
            <w:r>
              <w:rPr>
                <w:rFonts w:ascii="Times New Roman" w:hAnsi="Times New Roman" w:cs="Times New Roman"/>
                <w:color w:val="#000000"/>
                <w:sz w:val="24"/>
                <w:szCs w:val="24"/>
              </w:rPr>
              <w:t> 4. Развитие рекламных стратегий в доиндустриальном, индустриальном и постиндустриальном обществах.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коммуникационного процесса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Автокоммуникация Ю. Лотмана,</w:t>
            </w:r>
          </w:p>
          <w:p>
            <w:pPr>
              <w:jc w:val="both"/>
              <w:spacing w:after="0" w:line="240" w:lineRule="auto"/>
              <w:rPr>
                <w:sz w:val="24"/>
                <w:szCs w:val="24"/>
              </w:rPr>
            </w:pPr>
            <w:r>
              <w:rPr>
                <w:rFonts w:ascii="Times New Roman" w:hAnsi="Times New Roman" w:cs="Times New Roman"/>
                <w:color w:val="#000000"/>
                <w:sz w:val="24"/>
                <w:szCs w:val="24"/>
              </w:rPr>
              <w:t> 2. Применяемость психоанализа З. Фрейда и трансактной теории Э. Берна в рекламном пространстве</w:t>
            </w:r>
          </w:p>
          <w:p>
            <w:pPr>
              <w:jc w:val="both"/>
              <w:spacing w:after="0" w:line="240" w:lineRule="auto"/>
              <w:rPr>
                <w:sz w:val="24"/>
                <w:szCs w:val="24"/>
              </w:rPr>
            </w:pPr>
            <w:r>
              <w:rPr>
                <w:rFonts w:ascii="Times New Roman" w:hAnsi="Times New Roman" w:cs="Times New Roman"/>
                <w:color w:val="#000000"/>
                <w:sz w:val="24"/>
                <w:szCs w:val="24"/>
              </w:rPr>
              <w:t> 3. Специфика массовой коммуникации</w:t>
            </w:r>
          </w:p>
          <w:p>
            <w:pPr>
              <w:jc w:val="both"/>
              <w:spacing w:after="0" w:line="240" w:lineRule="auto"/>
              <w:rPr>
                <w:sz w:val="24"/>
                <w:szCs w:val="24"/>
              </w:rPr>
            </w:pPr>
            <w:r>
              <w:rPr>
                <w:rFonts w:ascii="Times New Roman" w:hAnsi="Times New Roman" w:cs="Times New Roman"/>
                <w:color w:val="#000000"/>
                <w:sz w:val="24"/>
                <w:szCs w:val="24"/>
              </w:rPr>
              <w:t> 2. Значение вербальной и невербальной коммуникации в рекламе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Структурная лингвистика как теоретическое основание современной вербальной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Функции языка Р. Якобсона</w:t>
            </w:r>
          </w:p>
          <w:p>
            <w:pPr>
              <w:jc w:val="both"/>
              <w:spacing w:after="0" w:line="240" w:lineRule="auto"/>
              <w:rPr>
                <w:sz w:val="24"/>
                <w:szCs w:val="24"/>
              </w:rPr>
            </w:pPr>
            <w:r>
              <w:rPr>
                <w:rFonts w:ascii="Times New Roman" w:hAnsi="Times New Roman" w:cs="Times New Roman"/>
                <w:color w:val="#000000"/>
                <w:sz w:val="24"/>
                <w:szCs w:val="24"/>
              </w:rPr>
              <w:t> 2. Языковые игры Л. Вингинштейна</w:t>
            </w:r>
          </w:p>
          <w:p>
            <w:pPr>
              <w:jc w:val="both"/>
              <w:spacing w:after="0" w:line="240" w:lineRule="auto"/>
              <w:rPr>
                <w:sz w:val="24"/>
                <w:szCs w:val="24"/>
              </w:rPr>
            </w:pPr>
            <w:r>
              <w:rPr>
                <w:rFonts w:ascii="Times New Roman" w:hAnsi="Times New Roman" w:cs="Times New Roman"/>
                <w:color w:val="#000000"/>
                <w:sz w:val="24"/>
                <w:szCs w:val="24"/>
              </w:rPr>
              <w:t> 3. Перформативные высказывания Дж. Остина.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Знаковая природа коммуникации. Семиотика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Использование иконического, символического и индексального знака в рекламе.</w:t>
            </w:r>
          </w:p>
          <w:p>
            <w:pPr>
              <w:jc w:val="both"/>
              <w:spacing w:after="0" w:line="240" w:lineRule="auto"/>
              <w:rPr>
                <w:sz w:val="24"/>
                <w:szCs w:val="24"/>
              </w:rPr>
            </w:pPr>
            <w:r>
              <w:rPr>
                <w:rFonts w:ascii="Times New Roman" w:hAnsi="Times New Roman" w:cs="Times New Roman"/>
                <w:color w:val="#000000"/>
                <w:sz w:val="24"/>
                <w:szCs w:val="24"/>
              </w:rPr>
              <w:t> 2. Синтактика.</w:t>
            </w:r>
          </w:p>
          <w:p>
            <w:pPr>
              <w:jc w:val="both"/>
              <w:spacing w:after="0" w:line="240" w:lineRule="auto"/>
              <w:rPr>
                <w:sz w:val="24"/>
                <w:szCs w:val="24"/>
              </w:rPr>
            </w:pPr>
            <w:r>
              <w:rPr>
                <w:rFonts w:ascii="Times New Roman" w:hAnsi="Times New Roman" w:cs="Times New Roman"/>
                <w:color w:val="#000000"/>
                <w:sz w:val="24"/>
                <w:szCs w:val="24"/>
              </w:rPr>
              <w:t> 3. Семантика.</w:t>
            </w:r>
          </w:p>
          <w:p>
            <w:pPr>
              <w:jc w:val="both"/>
              <w:spacing w:after="0" w:line="240" w:lineRule="auto"/>
              <w:rPr>
                <w:sz w:val="24"/>
                <w:szCs w:val="24"/>
              </w:rPr>
            </w:pPr>
            <w:r>
              <w:rPr>
                <w:rFonts w:ascii="Times New Roman" w:hAnsi="Times New Roman" w:cs="Times New Roman"/>
                <w:color w:val="#000000"/>
                <w:sz w:val="24"/>
                <w:szCs w:val="24"/>
              </w:rPr>
              <w:t> 4. Прагматика. Применяемость в рекламе.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Семиотика визуальных коммуникаций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Три сообщения: языковое, коннотативное, денотативное («Риторика образа» Р. Барта.).</w:t>
            </w:r>
          </w:p>
          <w:p>
            <w:pPr>
              <w:jc w:val="both"/>
              <w:spacing w:after="0" w:line="240" w:lineRule="auto"/>
              <w:rPr>
                <w:sz w:val="24"/>
                <w:szCs w:val="24"/>
              </w:rPr>
            </w:pPr>
            <w:r>
              <w:rPr>
                <w:rFonts w:ascii="Times New Roman" w:hAnsi="Times New Roman" w:cs="Times New Roman"/>
                <w:color w:val="#000000"/>
                <w:sz w:val="24"/>
                <w:szCs w:val="24"/>
              </w:rPr>
              <w:t> 2. Иконический знак и проблема его интерпретации.</w:t>
            </w:r>
          </w:p>
          <w:p>
            <w:pPr>
              <w:jc w:val="both"/>
              <w:spacing w:after="0" w:line="240" w:lineRule="auto"/>
              <w:rPr>
                <w:sz w:val="24"/>
                <w:szCs w:val="24"/>
              </w:rPr>
            </w:pPr>
            <w:r>
              <w:rPr>
                <w:rFonts w:ascii="Times New Roman" w:hAnsi="Times New Roman" w:cs="Times New Roman"/>
                <w:color w:val="#000000"/>
                <w:sz w:val="24"/>
                <w:szCs w:val="24"/>
              </w:rPr>
              <w:t> 3. Специфика понимания фотографического изображения в «Camera lucida»; схема studium/punctum.</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Идеологическая функция рекламы как следствие коннотативного сообщения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общества потребления в концепциях Ж. Липовецки и Ги Дебора</w:t>
            </w:r>
          </w:p>
          <w:p>
            <w:pPr>
              <w:jc w:val="both"/>
              <w:spacing w:after="0" w:line="240" w:lineRule="auto"/>
              <w:rPr>
                <w:sz w:val="24"/>
                <w:szCs w:val="24"/>
              </w:rPr>
            </w:pPr>
            <w:r>
              <w:rPr>
                <w:rFonts w:ascii="Times New Roman" w:hAnsi="Times New Roman" w:cs="Times New Roman"/>
                <w:color w:val="#000000"/>
                <w:sz w:val="24"/>
                <w:szCs w:val="24"/>
              </w:rPr>
              <w:t> 2. «Система вещей» Ж. Бодрийяра: концепция «модель/серия».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в рекламе: глобализация и новые технологии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Преимущества и недостатки кроскультурного и глобалистического подходов в рекламе.</w:t>
            </w:r>
          </w:p>
          <w:p>
            <w:pPr>
              <w:jc w:val="both"/>
              <w:spacing w:after="0" w:line="240" w:lineRule="auto"/>
              <w:rPr>
                <w:sz w:val="24"/>
                <w:szCs w:val="24"/>
              </w:rPr>
            </w:pPr>
            <w:r>
              <w:rPr>
                <w:rFonts w:ascii="Times New Roman" w:hAnsi="Times New Roman" w:cs="Times New Roman"/>
                <w:color w:val="#000000"/>
                <w:sz w:val="24"/>
                <w:szCs w:val="24"/>
              </w:rPr>
              <w:t> 2. Интернет-технологии и реклама</w:t>
            </w:r>
          </w:p>
          <w:p>
            <w:pPr>
              <w:jc w:val="both"/>
              <w:spacing w:after="0" w:line="240" w:lineRule="auto"/>
              <w:rPr>
                <w:sz w:val="24"/>
                <w:szCs w:val="24"/>
              </w:rPr>
            </w:pPr>
            <w:r>
              <w:rPr>
                <w:rFonts w:ascii="Times New Roman" w:hAnsi="Times New Roman" w:cs="Times New Roman"/>
                <w:color w:val="#000000"/>
                <w:sz w:val="24"/>
                <w:szCs w:val="24"/>
              </w:rPr>
              <w:t> 3. Продукт плейсмент – особенности функционирования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«Введение в коммуникационные специальности»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https://urait.ru/bcode/433572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Семиотика</w:t>
            </w:r>
            <w:r>
              <w:rPr/>
              <w:t xml:space="preserve"> </w:t>
            </w:r>
            <w:r>
              <w:rPr>
                <w:rFonts w:ascii="Times New Roman" w:hAnsi="Times New Roman" w:cs="Times New Roman"/>
                <w:color w:val="#000000"/>
                <w:sz w:val="24"/>
                <w:szCs w:val="24"/>
              </w:rPr>
              <w:t>рекламы</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978-5-394-01760-5.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http://www.iprbookshop.ru/57150.html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Реклама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общественностью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978-5-9916-3181-5.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https://www.biblio-online.ru/bcode/425190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2024-2025_ФГОС3++2024_Бак-ОФО-РСО(24)_plx_Введение в коммуникационные специальности</dc:title>
  <dc:creator>FastReport.NET</dc:creator>
</cp:coreProperties>
</file>